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0" w:before="0"/>
        <w:jc w:val="center"/>
      </w:pPr>
      <w:r>
        <w:drawing>
          <wp:inline distT="0" distB="0" distL="0" distR="0">
            <wp:extent cx="6172200" cy="2476500"/>
            <wp:effectExtent t="0" r="0" b="0" l="0"/>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 cstate="none"/>
                    <a:srcRect/>
                    <a:stretch>
                      <a:fillRect/>
                    </a:stretch>
                  </pic:blipFill>
                  <pic:spPr bwMode="auto">
                    <a:xfrm>
                      <a:off x="0" y="0"/>
                      <a:ext cx="6172200" cy="2476500"/>
                    </a:xfrm>
                    <a:prstGeom prst="rect">
                      <a:avLst/>
                    </a:prstGeom>
                  </pic:spPr>
                </pic:pic>
              </a:graphicData>
            </a:graphic>
          </wp:inline>
        </w:drawing>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9360"/>
      </w:tblGrid>
      <w:tr>
        <w:tc>
          <w:tcPr>
            <w:tcW w:type="dxa" w:w="9360"/>
            <w:tcBorders>
              <w:top w:val="none" w:color="FFFFFF" w:sz="0"/>
              <w:left w:val="none" w:color="FFFFFF" w:sz="0"/>
              <w:bottom w:val="none" w:color="FFFFFF" w:sz="0"/>
              <w:right w:val="none" w:color="FFFFFF" w:sz="0"/>
            </w:tcBorders>
            <w:shd w:fill="04342C" w:val="clear"/>
            <w:tcMar>
              <w:top w:type="dxa" w:w="200"/>
              <w:left w:type="dxa" w:w="300"/>
              <w:bottom w:type="dxa" w:w="200"/>
              <w:right w:type="dxa" w:w="300"/>
            </w:tcMar>
          </w:tcPr>
          <w:p>
            <w:pPr>
              <w:spacing w:after="80" w:before="0"/>
              <w:jc w:val="left"/>
            </w:pPr>
            <w:r>
              <w:rPr>
                <w:rFonts w:ascii="Georgia" w:cs="Georgia" w:eastAsia="Georgia" w:hAnsi="Georgia"/>
                <w:b/>
                <w:bCs/>
                <w:color w:val="FFFFFF"/>
                <w:sz w:val="52"/>
                <w:szCs w:val="52"/>
              </w:rPr>
              <w:t xml:space="preserve">The Real Cost of Washing Dishes</w:t>
            </w:r>
          </w:p>
          <w:p>
            <w:pPr>
              <w:spacing w:after="120" w:before="0"/>
              <w:jc w:val="left"/>
            </w:pPr>
            <w:r>
              <w:rPr>
                <w:rFonts w:ascii="Georgia" w:cs="Georgia" w:eastAsia="Georgia" w:hAnsi="Georgia"/>
                <w:i/>
                <w:iCs/>
                <w:color w:val="9FE1CB"/>
                <w:sz w:val="52"/>
                <w:szCs w:val="52"/>
              </w:rPr>
              <w:t xml:space="preserve">in a Commercial Kitchen</w:t>
            </w:r>
          </w:p>
          <w:p>
            <w:pPr>
              <w:spacing w:after="0" w:before="0"/>
            </w:pPr>
            <w:r>
              <w:rPr>
                <w:rFonts w:ascii="Arial" w:cs="Arial" w:eastAsia="Arial" w:hAnsi="Arial"/>
                <w:color w:val="D0EFE4"/>
                <w:sz w:val="22"/>
                <w:szCs w:val="22"/>
              </w:rPr>
              <w:t xml:space="preserve">Most operators think warewashing is a labor issue. It's actually a five-category system — and each one is manageable once you know what you're looking at.</w:t>
            </w:r>
          </w:p>
        </w:tc>
      </w:tr>
    </w:tbl>
    <w:p>
      <w:pPr>
        <w:spacing w:after="0" w:before="200"/>
      </w:pPr>
      <w:r>
        <w:t xml:space="preserve"/>
      </w:r>
    </w:p>
    <w:p>
      <w:pPr>
        <w:pBdr>
          <w:bottom w:val="single" w:color="1D9E75" w:sz="6" w:space="4"/>
        </w:pBdr>
        <w:spacing w:after="80" w:before="320"/>
      </w:pPr>
      <w:r>
        <w:rPr>
          <w:rFonts w:ascii="Arial" w:cs="Arial" w:eastAsia="Arial" w:hAnsi="Arial"/>
          <w:b/>
          <w:bCs/>
          <w:color w:val="0F6E56"/>
          <w:sz w:val="18"/>
          <w:szCs w:val="18"/>
        </w:rPr>
        <w:t xml:space="preserve">WHY THIS NUMBER IS BIGGER THAN YOU THINK</w:t>
      </w:r>
    </w:p>
    <w:p>
      <w:pPr>
        <w:spacing w:after="0" w:before="80"/>
      </w:pPr>
      <w:r>
        <w:t xml:space="preserve"/>
      </w:r>
    </w:p>
    <w:p>
      <w:pPr>
        <w:spacing w:after="80" w:before="80"/>
        <w:jc w:val="left"/>
      </w:pPr>
      <w:r>
        <w:rPr>
          <w:rFonts w:ascii="Arial" w:cs="Arial" w:eastAsia="Arial" w:hAnsi="Arial"/>
          <w:i w:val="false"/>
          <w:iCs w:val="false"/>
          <w:color w:val="222222"/>
          <w:sz w:val="22"/>
          <w:szCs w:val="22"/>
        </w:rPr>
        <w:t xml:space="preserve">Industry data consistently shows warewashing costs represent 3–5% of total food service revenue. In a restaurant doing $2 million a year, that's $60,000–$100,000. Most operators couldn't tell you that number without digging through three different P&amp;L departments.</w:t>
      </w:r>
    </w:p>
    <w:p>
      <w:pPr>
        <w:spacing w:after="0" w:before="160"/>
      </w:pPr>
      <w:r>
        <w:t xml:space="preserve"/>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3120"/>
        <w:gridCol w:w="3120"/>
        <w:gridCol w:w="3120"/>
      </w:tblGrid>
      <w:tr>
        <w:tc>
          <w:tcPr>
            <w:tcW w:type="dxa" w:w="3120"/>
            <w:tcBorders>
              <w:top w:val="single" w:color="CCCCCC" w:sz="1"/>
              <w:left w:val="single" w:color="CCCCCC" w:sz="1"/>
              <w:bottom w:val="single" w:color="CCCCCC" w:sz="1"/>
              <w:right w:val="single" w:color="CCCCCC" w:sz="1"/>
            </w:tcBorders>
            <w:shd w:fill="E1F5EE" w:val="clear"/>
            <w:tcMar>
              <w:top w:type="dxa" w:w="120"/>
              <w:left w:type="dxa" w:w="160"/>
              <w:bottom w:type="dxa" w:w="120"/>
              <w:right w:type="dxa" w:w="160"/>
            </w:tcMar>
          </w:tcPr>
          <w:p>
            <w:pPr>
              <w:spacing w:after="40" w:before="0"/>
              <w:jc w:val="center"/>
            </w:pPr>
            <w:r>
              <w:rPr>
                <w:rFonts w:ascii="Georgia" w:cs="Georgia" w:eastAsia="Georgia" w:hAnsi="Georgia"/>
                <w:b/>
                <w:bCs/>
                <w:color w:val="0F6E56"/>
                <w:sz w:val="48"/>
                <w:szCs w:val="48"/>
              </w:rPr>
              <w:t xml:space="preserve">3–5%</w:t>
            </w:r>
          </w:p>
          <w:p>
            <w:pPr>
              <w:spacing w:after="40" w:before="0"/>
              <w:jc w:val="center"/>
            </w:pPr>
            <w:r>
              <w:rPr>
                <w:rFonts w:ascii="Arial" w:cs="Arial" w:eastAsia="Arial" w:hAnsi="Arial"/>
                <w:b/>
                <w:bCs/>
                <w:color w:val="04342C"/>
                <w:sz w:val="18"/>
                <w:szCs w:val="18"/>
              </w:rPr>
              <w:t xml:space="preserve">of revenue</w:t>
            </w:r>
          </w:p>
          <w:p>
            <w:pPr>
              <w:spacing w:after="0" w:before="0"/>
              <w:jc w:val="center"/>
            </w:pPr>
            <w:r>
              <w:rPr>
                <w:rFonts w:ascii="Arial" w:cs="Arial" w:eastAsia="Arial" w:hAnsi="Arial"/>
                <w:color w:val="555555"/>
                <w:sz w:val="18"/>
                <w:szCs w:val="18"/>
              </w:rPr>
              <w:t xml:space="preserve">Warewashing's share of total food service revenue</w:t>
            </w:r>
          </w:p>
        </w:tc>
        <w:tc>
          <w:tcPr>
            <w:tcW w:type="dxa" w:w="3120"/>
            <w:tcBorders>
              <w:top w:val="single" w:color="CCCCCC" w:sz="1"/>
              <w:left w:val="single" w:color="CCCCCC" w:sz="1"/>
              <w:bottom w:val="single" w:color="CCCCCC" w:sz="1"/>
              <w:right w:val="single" w:color="CCCCCC" w:sz="1"/>
            </w:tcBorders>
            <w:shd w:fill="E1F5EE" w:val="clear"/>
            <w:tcMar>
              <w:top w:type="dxa" w:w="120"/>
              <w:left w:type="dxa" w:w="160"/>
              <w:bottom w:type="dxa" w:w="120"/>
              <w:right w:type="dxa" w:w="160"/>
            </w:tcMar>
          </w:tcPr>
          <w:p>
            <w:pPr>
              <w:spacing w:after="40" w:before="0"/>
              <w:jc w:val="center"/>
            </w:pPr>
            <w:r>
              <w:rPr>
                <w:rFonts w:ascii="Georgia" w:cs="Georgia" w:eastAsia="Georgia" w:hAnsi="Georgia"/>
                <w:b/>
                <w:bCs/>
                <w:color w:val="0F6E56"/>
                <w:sz w:val="48"/>
                <w:szCs w:val="48"/>
              </w:rPr>
              <w:t xml:space="preserve">$60K+</w:t>
            </w:r>
          </w:p>
          <w:p>
            <w:pPr>
              <w:spacing w:after="40" w:before="0"/>
              <w:jc w:val="center"/>
            </w:pPr>
            <w:r>
              <w:rPr>
                <w:rFonts w:ascii="Arial" w:cs="Arial" w:eastAsia="Arial" w:hAnsi="Arial"/>
                <w:b/>
                <w:bCs/>
                <w:color w:val="04342C"/>
                <w:sz w:val="18"/>
                <w:szCs w:val="18"/>
              </w:rPr>
              <w:t xml:space="preserve">annual exposure</w:t>
            </w:r>
          </w:p>
          <w:p>
            <w:pPr>
              <w:spacing w:after="0" w:before="0"/>
              <w:jc w:val="center"/>
            </w:pPr>
            <w:r>
              <w:rPr>
                <w:rFonts w:ascii="Arial" w:cs="Arial" w:eastAsia="Arial" w:hAnsi="Arial"/>
                <w:color w:val="555555"/>
                <w:sz w:val="18"/>
                <w:szCs w:val="18"/>
              </w:rPr>
              <w:t xml:space="preserve">In a $2M restaurant — often hidden across 3 P&amp;L departments</w:t>
            </w:r>
          </w:p>
        </w:tc>
        <w:tc>
          <w:tcPr>
            <w:tcW w:type="dxa" w:w="3120"/>
            <w:tcBorders>
              <w:top w:val="single" w:color="CCCCCC" w:sz="1"/>
              <w:left w:val="single" w:color="CCCCCC" w:sz="1"/>
              <w:bottom w:val="single" w:color="CCCCCC" w:sz="1"/>
              <w:right w:val="single" w:color="CCCCCC" w:sz="1"/>
            </w:tcBorders>
            <w:shd w:fill="E1F5EE" w:val="clear"/>
            <w:tcMar>
              <w:top w:type="dxa" w:w="120"/>
              <w:left w:type="dxa" w:w="160"/>
              <w:bottom w:type="dxa" w:w="120"/>
              <w:right w:type="dxa" w:w="160"/>
            </w:tcMar>
          </w:tcPr>
          <w:p>
            <w:pPr>
              <w:spacing w:after="40" w:before="0"/>
              <w:jc w:val="center"/>
            </w:pPr>
            <w:r>
              <w:rPr>
                <w:rFonts w:ascii="Georgia" w:cs="Georgia" w:eastAsia="Georgia" w:hAnsi="Georgia"/>
                <w:b/>
                <w:bCs/>
                <w:color w:val="0F6E56"/>
                <w:sz w:val="48"/>
                <w:szCs w:val="48"/>
              </w:rPr>
              <w:t xml:space="preserve">5</w:t>
            </w:r>
          </w:p>
          <w:p>
            <w:pPr>
              <w:spacing w:after="40" w:before="0"/>
              <w:jc w:val="center"/>
            </w:pPr>
            <w:r>
              <w:rPr>
                <w:rFonts w:ascii="Arial" w:cs="Arial" w:eastAsia="Arial" w:hAnsi="Arial"/>
                <w:b/>
                <w:bCs/>
                <w:color w:val="04342C"/>
                <w:sz w:val="18"/>
                <w:szCs w:val="18"/>
              </w:rPr>
              <w:t xml:space="preserve">cost categories</w:t>
            </w:r>
          </w:p>
          <w:p>
            <w:pPr>
              <w:spacing w:after="0" w:before="0"/>
              <w:jc w:val="center"/>
            </w:pPr>
            <w:r>
              <w:rPr>
                <w:rFonts w:ascii="Arial" w:cs="Arial" w:eastAsia="Arial" w:hAnsi="Arial"/>
                <w:color w:val="555555"/>
                <w:sz w:val="18"/>
                <w:szCs w:val="18"/>
              </w:rPr>
              <w:t xml:space="preserve">Each measurable, manageable, and interconnected</w:t>
            </w:r>
          </w:p>
        </w:tc>
      </w:tr>
    </w:tbl>
    <w:p>
      <w:pPr>
        <w:spacing w:after="0" w:before="240"/>
      </w:pPr>
      <w:r>
        <w:t xml:space="preserve"/>
      </w:r>
    </w:p>
    <w:p>
      <w:pPr>
        <w:pBdr>
          <w:bottom w:val="single" w:color="1D9E75" w:sz="6" w:space="4"/>
        </w:pBdr>
        <w:spacing w:after="80" w:before="320"/>
      </w:pPr>
      <w:r>
        <w:rPr>
          <w:rFonts w:ascii="Arial" w:cs="Arial" w:eastAsia="Arial" w:hAnsi="Arial"/>
          <w:b/>
          <w:bCs/>
          <w:color w:val="0F6E56"/>
          <w:sz w:val="18"/>
          <w:szCs w:val="18"/>
        </w:rPr>
        <w:t xml:space="preserve">WHERE THE MONEY ACTUALLY GOES</w:t>
      </w:r>
    </w:p>
    <w:p>
      <w:pPr>
        <w:spacing w:after="0" w:before="80"/>
      </w:pPr>
      <w:r>
        <w:t xml:space="preserve"/>
      </w:r>
    </w:p>
    <w:p>
      <w:pPr>
        <w:spacing w:after="0" w:before="0"/>
        <w:jc w:val="center"/>
      </w:pPr>
      <w:r>
        <w:drawing>
          <wp:inline distT="0" distB="0" distL="0" distR="0">
            <wp:extent cx="4762500" cy="4048125"/>
            <wp:effectExtent t="0" r="0" b="0" l="0"/>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 cstate="none"/>
                    <a:srcRect/>
                    <a:stretch>
                      <a:fillRect/>
                    </a:stretch>
                  </pic:blipFill>
                  <pic:spPr bwMode="auto">
                    <a:xfrm>
                      <a:off x="0" y="0"/>
                      <a:ext cx="4762500" cy="4048125"/>
                    </a:xfrm>
                    <a:prstGeom prst="rect">
                      <a:avLst/>
                    </a:prstGeom>
                  </pic:spPr>
                </pic:pic>
              </a:graphicData>
            </a:graphic>
          </wp:inline>
        </w:drawing>
      </w:r>
    </w:p>
    <w:p>
      <w:pPr>
        <w:spacing w:after="0" w:before="240"/>
      </w:pPr>
      <w:r>
        <w:t xml:space="preserve"/>
      </w:r>
    </w:p>
    <w:p>
      <w:pPr>
        <w:pBdr>
          <w:bottom w:val="single" w:color="1D9E75" w:sz="6" w:space="4"/>
        </w:pBdr>
        <w:spacing w:after="80" w:before="320"/>
      </w:pPr>
      <w:r>
        <w:rPr>
          <w:rFonts w:ascii="Arial" w:cs="Arial" w:eastAsia="Arial" w:hAnsi="Arial"/>
          <w:b/>
          <w:bCs/>
          <w:color w:val="0F6E56"/>
          <w:sz w:val="18"/>
          <w:szCs w:val="18"/>
        </w:rPr>
        <w:t xml:space="preserve">BREAKING IT DOWN, CATEGORY BY CATEGORY</w:t>
      </w:r>
    </w:p>
    <w:p>
      <w:pPr>
        <w:spacing w:after="0" w:before="120"/>
      </w:pPr>
      <w:r>
        <w:t xml:space="preserve"/>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1200"/>
        <w:gridCol w:w="8160"/>
      </w:tblGrid>
      <w:tr>
        <w:tc>
          <w:tcPr>
            <w:tcW w:type="dxa" w:w="1200"/>
            <w:tcBorders>
              <w:top w:val="single" w:color="CCCCCC" w:sz="1"/>
              <w:left w:val="single" w:color="CCCCCC" w:sz="1"/>
              <w:bottom w:val="single" w:color="CCCCCC" w:sz="1"/>
              <w:right w:val="single" w:color="CCCCCC" w:sz="1"/>
            </w:tcBorders>
            <w:shd w:fill="E1F5EE" w:val="clear"/>
            <w:tcMar>
              <w:top w:type="dxa" w:w="120"/>
              <w:left w:type="dxa" w:w="80"/>
              <w:bottom w:type="dxa" w:w="120"/>
              <w:right w:type="dxa" w:w="80"/>
            </w:tcMar>
            <w:vAlign w:val="center"/>
          </w:tcPr>
          <w:p>
            <w:pPr>
              <w:jc w:val="center"/>
            </w:pPr>
            <w:r>
              <w:rPr>
                <w:rFonts w:ascii="Georgia" w:cs="Georgia" w:eastAsia="Georgia" w:hAnsi="Georgia"/>
                <w:b/>
                <w:bCs/>
                <w:color w:val="0F6E56"/>
                <w:sz w:val="52"/>
                <w:szCs w:val="52"/>
              </w:rPr>
              <w:t xml:space="preserve">49%</w:t>
            </w:r>
          </w:p>
        </w:tc>
        <w:tc>
          <w:tcPr>
            <w:tcW w:type="dxa" w:w="8160"/>
            <w:tcBorders>
              <w:top w:val="single" w:color="CCCCCC" w:sz="1"/>
              <w:left w:val="none" w:color="FFFFFF" w:sz="0"/>
              <w:bottom w:val="single" w:color="CCCCCC" w:sz="1"/>
              <w:right w:val="single" w:color="CCCCCC" w:sz="1"/>
            </w:tcBorders>
            <w:shd w:fill="FFFFFF" w:val="clear"/>
            <w:tcMar>
              <w:top w:type="dxa" w:w="140"/>
              <w:left w:type="dxa" w:w="200"/>
              <w:bottom w:type="dxa" w:w="140"/>
              <w:right w:type="dxa" w:w="160"/>
            </w:tcMar>
          </w:tcPr>
          <w:p>
            <w:pPr>
              <w:spacing w:after="60" w:before="0"/>
            </w:pPr>
            <w:r>
              <w:rPr>
                <w:rFonts w:ascii="Arial" w:cs="Arial" w:eastAsia="Arial" w:hAnsi="Arial"/>
                <w:b/>
                <w:bCs/>
                <w:color w:val="04342C"/>
                <w:sz w:val="24"/>
                <w:szCs w:val="24"/>
              </w:rPr>
              <w:t xml:space="preserve">Labor — The Biggest Line Item Nobody Manages Well</w:t>
            </w:r>
          </w:p>
          <w:p>
            <w:pPr>
              <w:spacing w:after="100" w:before="0"/>
            </w:pPr>
            <w:r>
              <w:rPr>
                <w:rFonts w:ascii="Arial" w:cs="Arial" w:eastAsia="Arial" w:hAnsi="Arial"/>
                <w:i/>
                <w:iCs/>
                <w:color w:val="555555"/>
                <w:sz w:val="20"/>
                <w:szCs w:val="20"/>
              </w:rPr>
              <w:t xml:space="preserve">Dish room staff, bussers, utility personnel, wages, and benefits</w:t>
            </w:r>
          </w:p>
          <w:p>
            <w:pPr>
              <w:spacing w:after="0" w:before="0"/>
            </w:pPr>
            <w:r>
              <w:rPr>
                <w:rFonts w:ascii="Arial" w:cs="Arial" w:eastAsia="Arial" w:hAnsi="Arial"/>
                <w:color w:val="333333"/>
                <w:sz w:val="20"/>
                <w:szCs w:val="20"/>
              </w:rPr>
              <w:t xml:space="preserve">The biggest driver of wasted labor is the multi-pass wash cycle. One-pass washing isn't just an efficiency metric — it's a discipline that requires proper scraping stations, organized dish flow, and trained staff. Train your dish room team the way you train your line cooks. They're running equipment that costs more than most of your kitchen smallwares combined.</w:t>
            </w:r>
          </w:p>
        </w:tc>
      </w:tr>
    </w:tbl>
    <w:p>
      <w:pPr>
        <w:spacing w:after="0" w:before="120"/>
      </w:pPr>
      <w:r>
        <w:t xml:space="preserve"/>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1200"/>
        <w:gridCol w:w="8160"/>
      </w:tblGrid>
      <w:tr>
        <w:tc>
          <w:tcPr>
            <w:tcW w:type="dxa" w:w="1200"/>
            <w:tcBorders>
              <w:top w:val="single" w:color="CCCCCC" w:sz="1"/>
              <w:left w:val="single" w:color="CCCCCC" w:sz="1"/>
              <w:bottom w:val="single" w:color="CCCCCC" w:sz="1"/>
              <w:right w:val="single" w:color="CCCCCC" w:sz="1"/>
            </w:tcBorders>
            <w:shd w:fill="E1F5EE" w:val="clear"/>
            <w:tcMar>
              <w:top w:type="dxa" w:w="120"/>
              <w:left w:type="dxa" w:w="80"/>
              <w:bottom w:type="dxa" w:w="120"/>
              <w:right w:type="dxa" w:w="80"/>
            </w:tcMar>
            <w:vAlign w:val="center"/>
          </w:tcPr>
          <w:p>
            <w:pPr>
              <w:jc w:val="center"/>
            </w:pPr>
            <w:r>
              <w:rPr>
                <w:rFonts w:ascii="Georgia" w:cs="Georgia" w:eastAsia="Georgia" w:hAnsi="Georgia"/>
                <w:b/>
                <w:bCs/>
                <w:color w:val="1D9E75"/>
                <w:sz w:val="52"/>
                <w:szCs w:val="52"/>
              </w:rPr>
              <w:t xml:space="preserve">20%</w:t>
            </w:r>
          </w:p>
        </w:tc>
        <w:tc>
          <w:tcPr>
            <w:tcW w:type="dxa" w:w="8160"/>
            <w:tcBorders>
              <w:top w:val="single" w:color="CCCCCC" w:sz="1"/>
              <w:left w:val="none" w:color="FFFFFF" w:sz="0"/>
              <w:bottom w:val="single" w:color="CCCCCC" w:sz="1"/>
              <w:right w:val="single" w:color="CCCCCC" w:sz="1"/>
            </w:tcBorders>
            <w:shd w:fill="FFFFFF" w:val="clear"/>
            <w:tcMar>
              <w:top w:type="dxa" w:w="140"/>
              <w:left w:type="dxa" w:w="200"/>
              <w:bottom w:type="dxa" w:w="140"/>
              <w:right w:type="dxa" w:w="160"/>
            </w:tcMar>
          </w:tcPr>
          <w:p>
            <w:pPr>
              <w:spacing w:after="60" w:before="0"/>
            </w:pPr>
            <w:r>
              <w:rPr>
                <w:rFonts w:ascii="Arial" w:cs="Arial" w:eastAsia="Arial" w:hAnsi="Arial"/>
                <w:b/>
                <w:bCs/>
                <w:color w:val="04342C"/>
                <w:sz w:val="24"/>
                <w:szCs w:val="24"/>
              </w:rPr>
              <w:t xml:space="preserve">Indirect — The Silent Budget Drain</w:t>
            </w:r>
          </w:p>
          <w:p>
            <w:pPr>
              <w:spacing w:after="100" w:before="0"/>
            </w:pPr>
            <w:r>
              <w:rPr>
                <w:rFonts w:ascii="Arial" w:cs="Arial" w:eastAsia="Arial" w:hAnsi="Arial"/>
                <w:i/>
                <w:iCs/>
                <w:color w:val="555555"/>
                <w:sz w:val="20"/>
                <w:szCs w:val="20"/>
              </w:rPr>
              <w:t xml:space="preserve">Machine depreciation, lease costs, PM contracts, space allocation, HVAC</w:t>
            </w:r>
          </w:p>
          <w:p>
            <w:pPr>
              <w:spacing w:after="0" w:before="0"/>
            </w:pPr>
            <w:r>
              <w:rPr>
                <w:rFonts w:ascii="Arial" w:cs="Arial" w:eastAsia="Arial" w:hAnsi="Arial"/>
                <w:color w:val="333333"/>
                <w:sz w:val="20"/>
                <w:szCs w:val="20"/>
              </w:rPr>
              <w:t xml:space="preserve">Preventive maintenance is the highest-leverage investment in this category. A properly serviced machine runs cleaner, faster, and lasts significantly longer. Calcium and lime scale buildup on spray arms forces re-washing. A de-liming program and quarterly inspections will save more than the service contract costs.</w:t>
            </w:r>
          </w:p>
        </w:tc>
      </w:tr>
    </w:tbl>
    <w:p>
      <w:pPr>
        <w:spacing w:after="0" w:before="120"/>
      </w:pPr>
      <w:r>
        <w:t xml:space="preserve"/>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1200"/>
        <w:gridCol w:w="8160"/>
      </w:tblGrid>
      <w:tr>
        <w:tc>
          <w:tcPr>
            <w:tcW w:type="dxa" w:w="1200"/>
            <w:tcBorders>
              <w:top w:val="single" w:color="CCCCCC" w:sz="1"/>
              <w:left w:val="single" w:color="CCCCCC" w:sz="1"/>
              <w:bottom w:val="single" w:color="CCCCCC" w:sz="1"/>
              <w:right w:val="single" w:color="CCCCCC" w:sz="1"/>
            </w:tcBorders>
            <w:shd w:fill="E1F5EE" w:val="clear"/>
            <w:tcMar>
              <w:top w:type="dxa" w:w="120"/>
              <w:left w:type="dxa" w:w="80"/>
              <w:bottom w:type="dxa" w:w="120"/>
              <w:right w:type="dxa" w:w="80"/>
            </w:tcMar>
            <w:vAlign w:val="center"/>
          </w:tcPr>
          <w:p>
            <w:pPr>
              <w:jc w:val="center"/>
            </w:pPr>
            <w:r>
              <w:rPr>
                <w:rFonts w:ascii="Georgia" w:cs="Georgia" w:eastAsia="Georgia" w:hAnsi="Georgia"/>
                <w:b/>
                <w:bCs/>
                <w:color w:val="0F8fa0"/>
                <w:sz w:val="52"/>
                <w:szCs w:val="52"/>
              </w:rPr>
              <w:t xml:space="preserve">14%</w:t>
            </w:r>
          </w:p>
        </w:tc>
        <w:tc>
          <w:tcPr>
            <w:tcW w:type="dxa" w:w="8160"/>
            <w:tcBorders>
              <w:top w:val="single" w:color="CCCCCC" w:sz="1"/>
              <w:left w:val="none" w:color="FFFFFF" w:sz="0"/>
              <w:bottom w:val="single" w:color="CCCCCC" w:sz="1"/>
              <w:right w:val="single" w:color="CCCCCC" w:sz="1"/>
            </w:tcBorders>
            <w:shd w:fill="FFFFFF" w:val="clear"/>
            <w:tcMar>
              <w:top w:type="dxa" w:w="140"/>
              <w:left w:type="dxa" w:w="200"/>
              <w:bottom w:type="dxa" w:w="140"/>
              <w:right w:type="dxa" w:w="160"/>
            </w:tcMar>
          </w:tcPr>
          <w:p>
            <w:pPr>
              <w:spacing w:after="60" w:before="0"/>
            </w:pPr>
            <w:r>
              <w:rPr>
                <w:rFonts w:ascii="Arial" w:cs="Arial" w:eastAsia="Arial" w:hAnsi="Arial"/>
                <w:b/>
                <w:bCs/>
                <w:color w:val="04342C"/>
                <w:sz w:val="24"/>
                <w:szCs w:val="24"/>
              </w:rPr>
              <w:t xml:space="preserve">Breakage — The Cost That Hides in Plain Sight</w:t>
            </w:r>
          </w:p>
          <w:p>
            <w:pPr>
              <w:spacing w:after="100" w:before="0"/>
            </w:pPr>
            <w:r>
              <w:rPr>
                <w:rFonts w:ascii="Arial" w:cs="Arial" w:eastAsia="Arial" w:hAnsi="Arial"/>
                <w:i/>
                <w:iCs/>
                <w:color w:val="555555"/>
                <w:sz w:val="20"/>
                <w:szCs w:val="20"/>
              </w:rPr>
              <w:t xml:space="preserve">Chipped plates, etched glassware, theft, and attrition from poor handling</w:t>
            </w:r>
          </w:p>
          <w:p>
            <w:pPr>
              <w:spacing w:after="0" w:before="0"/>
            </w:pPr>
            <w:r>
              <w:rPr>
                <w:rFonts w:ascii="Arial" w:cs="Arial" w:eastAsia="Arial" w:hAnsi="Arial"/>
                <w:color w:val="333333"/>
                <w:sz w:val="20"/>
                <w:szCs w:val="20"/>
              </w:rPr>
              <w:t xml:space="preserve">Breakage is treated as inevitable — a cost of doing business — despite the fact that a significant portion is preventable. The biggest culprits are wrong rack types, over-stacked racks, and poor handling on the unload side. Glassware etching is a chemistry and temperature issue as much as a handling issue. That's not a broken glass you see on the floor; it's a clouded glass you throw out three months from now after a guest complaint.</w:t>
            </w:r>
          </w:p>
        </w:tc>
      </w:tr>
    </w:tbl>
    <w:p>
      <w:pPr>
        <w:spacing w:after="0" w:before="120"/>
      </w:pPr>
      <w:r>
        <w:t xml:space="preserve"/>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1200"/>
        <w:gridCol w:w="8160"/>
      </w:tblGrid>
      <w:tr>
        <w:tc>
          <w:tcPr>
            <w:tcW w:type="dxa" w:w="1200"/>
            <w:tcBorders>
              <w:top w:val="single" w:color="CCCCCC" w:sz="1"/>
              <w:left w:val="single" w:color="CCCCCC" w:sz="1"/>
              <w:bottom w:val="single" w:color="CCCCCC" w:sz="1"/>
              <w:right w:val="single" w:color="CCCCCC" w:sz="1"/>
            </w:tcBorders>
            <w:shd w:fill="E1F5EE" w:val="clear"/>
            <w:tcMar>
              <w:top w:type="dxa" w:w="120"/>
              <w:left w:type="dxa" w:w="80"/>
              <w:bottom w:type="dxa" w:w="120"/>
              <w:right w:type="dxa" w:w="80"/>
            </w:tcMar>
            <w:vAlign w:val="center"/>
          </w:tcPr>
          <w:p>
            <w:pPr>
              <w:jc w:val="center"/>
            </w:pPr>
            <w:r>
              <w:rPr>
                <w:rFonts w:ascii="Georgia" w:cs="Georgia" w:eastAsia="Georgia" w:hAnsi="Georgia"/>
                <w:b/>
                <w:bCs/>
                <w:color w:val="188a9b"/>
                <w:sz w:val="52"/>
                <w:szCs w:val="52"/>
              </w:rPr>
              <w:t xml:space="preserve">11%</w:t>
            </w:r>
          </w:p>
        </w:tc>
        <w:tc>
          <w:tcPr>
            <w:tcW w:type="dxa" w:w="8160"/>
            <w:tcBorders>
              <w:top w:val="single" w:color="CCCCCC" w:sz="1"/>
              <w:left w:val="none" w:color="FFFFFF" w:sz="0"/>
              <w:bottom w:val="single" w:color="CCCCCC" w:sz="1"/>
              <w:right w:val="single" w:color="CCCCCC" w:sz="1"/>
            </w:tcBorders>
            <w:shd w:fill="FFFFFF" w:val="clear"/>
            <w:tcMar>
              <w:top w:type="dxa" w:w="140"/>
              <w:left w:type="dxa" w:w="200"/>
              <w:bottom w:type="dxa" w:w="140"/>
              <w:right w:type="dxa" w:w="160"/>
            </w:tcMar>
          </w:tcPr>
          <w:p>
            <w:pPr>
              <w:spacing w:after="60" w:before="0"/>
            </w:pPr>
            <w:r>
              <w:rPr>
                <w:rFonts w:ascii="Arial" w:cs="Arial" w:eastAsia="Arial" w:hAnsi="Arial"/>
                <w:b/>
                <w:bCs/>
                <w:color w:val="04342C"/>
                <w:sz w:val="24"/>
                <w:szCs w:val="24"/>
              </w:rPr>
              <w:t xml:space="preserve">Energy — Every Degree Costs Money</w:t>
            </w:r>
          </w:p>
          <w:p>
            <w:pPr>
              <w:spacing w:after="100" w:before="0"/>
            </w:pPr>
            <w:r>
              <w:rPr>
                <w:rFonts w:ascii="Arial" w:cs="Arial" w:eastAsia="Arial" w:hAnsi="Arial"/>
                <w:i/>
                <w:iCs/>
                <w:color w:val="555555"/>
                <w:sz w:val="20"/>
                <w:szCs w:val="20"/>
              </w:rPr>
              <w:t xml:space="preserve">Water consumption, sewage, natural gas or electric heat, ventilation</w:t>
            </w:r>
          </w:p>
          <w:p>
            <w:pPr>
              <w:spacing w:after="0" w:before="0"/>
            </w:pPr>
            <w:r>
              <w:rPr>
                <w:rFonts w:ascii="Arial" w:cs="Arial" w:eastAsia="Arial" w:hAnsi="Arial"/>
                <w:color w:val="333333"/>
                <w:sz w:val="20"/>
                <w:szCs w:val="20"/>
              </w:rPr>
              <w:t xml:space="preserve">NSF standards specify water usage per rack for a reason. A machine using 30% more water per cycle than spec isn't washing better — it's costing more. High-temp machines need a booster heater to reach 180°F in the final rinse. If it struggles, you're either not sanitizing properly or overworking the element. Both outcomes are bad.</w:t>
            </w:r>
          </w:p>
        </w:tc>
      </w:tr>
    </w:tbl>
    <w:p>
      <w:pPr>
        <w:spacing w:after="0" w:before="120"/>
      </w:pPr>
      <w:r>
        <w:t xml:space="preserve"/>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1200"/>
        <w:gridCol w:w="8160"/>
      </w:tblGrid>
      <w:tr>
        <w:tc>
          <w:tcPr>
            <w:tcW w:type="dxa" w:w="1200"/>
            <w:tcBorders>
              <w:top w:val="single" w:color="CCCCCC" w:sz="1"/>
              <w:left w:val="single" w:color="CCCCCC" w:sz="1"/>
              <w:bottom w:val="single" w:color="CCCCCC" w:sz="1"/>
              <w:right w:val="single" w:color="CCCCCC" w:sz="1"/>
            </w:tcBorders>
            <w:shd w:fill="E1F5EE" w:val="clear"/>
            <w:tcMar>
              <w:top w:type="dxa" w:w="120"/>
              <w:left w:type="dxa" w:w="80"/>
              <w:bottom w:type="dxa" w:w="120"/>
              <w:right w:type="dxa" w:w="80"/>
            </w:tcMar>
            <w:vAlign w:val="center"/>
          </w:tcPr>
          <w:p>
            <w:pPr>
              <w:jc w:val="center"/>
            </w:pPr>
            <w:r>
              <w:rPr>
                <w:rFonts w:ascii="Georgia" w:cs="Georgia" w:eastAsia="Georgia" w:hAnsi="Georgia"/>
                <w:b/>
                <w:bCs/>
                <w:color w:val="3B6D11"/>
                <w:sz w:val="52"/>
                <w:szCs w:val="52"/>
              </w:rPr>
              <w:t xml:space="preserve">6%</w:t>
            </w:r>
          </w:p>
        </w:tc>
        <w:tc>
          <w:tcPr>
            <w:tcW w:type="dxa" w:w="8160"/>
            <w:tcBorders>
              <w:top w:val="single" w:color="CCCCCC" w:sz="1"/>
              <w:left w:val="none" w:color="FFFFFF" w:sz="0"/>
              <w:bottom w:val="single" w:color="CCCCCC" w:sz="1"/>
              <w:right w:val="single" w:color="CCCCCC" w:sz="1"/>
            </w:tcBorders>
            <w:shd w:fill="FFFFFF" w:val="clear"/>
            <w:tcMar>
              <w:top w:type="dxa" w:w="140"/>
              <w:left w:type="dxa" w:w="200"/>
              <w:bottom w:type="dxa" w:w="140"/>
              <w:right w:type="dxa" w:w="160"/>
            </w:tcMar>
          </w:tcPr>
          <w:p>
            <w:pPr>
              <w:spacing w:after="60" w:before="0"/>
            </w:pPr>
            <w:r>
              <w:rPr>
                <w:rFonts w:ascii="Arial" w:cs="Arial" w:eastAsia="Arial" w:hAnsi="Arial"/>
                <w:b/>
                <w:bCs/>
                <w:color w:val="04342C"/>
                <w:sz w:val="24"/>
                <w:szCs w:val="24"/>
              </w:rPr>
              <w:t xml:space="preserve">Chemistry — The Most Misunderstood Slice</w:t>
            </w:r>
          </w:p>
          <w:p>
            <w:pPr>
              <w:spacing w:after="100" w:before="0"/>
            </w:pPr>
            <w:r>
              <w:rPr>
                <w:rFonts w:ascii="Arial" w:cs="Arial" w:eastAsia="Arial" w:hAnsi="Arial"/>
                <w:i/>
                <w:iCs/>
                <w:color w:val="555555"/>
                <w:sz w:val="20"/>
                <w:szCs w:val="20"/>
              </w:rPr>
              <w:t xml:space="preserve">Detergent, rinse additive, and sanitizer</w:t>
            </w:r>
          </w:p>
          <w:p>
            <w:pPr>
              <w:spacing w:after="0" w:before="0"/>
            </w:pPr>
            <w:r>
              <w:rPr>
                <w:rFonts w:ascii="Arial" w:cs="Arial" w:eastAsia="Arial" w:hAnsi="Arial"/>
                <w:color w:val="333333"/>
                <w:sz w:val="20"/>
                <w:szCs w:val="20"/>
              </w:rPr>
              <w:t xml:space="preserve">Chemistry is the smallest slice of the pie, but it has the biggest impact on the other 94%. Peristaltic pumps drift — a pump calibrated correctly at installation may be off by 20–30% a year later, unnoticed. Test your sanitizer concentration. Test strips cost almost nothing; not testing is a food safety issue first and a cost issue second.</w:t>
            </w:r>
          </w:p>
        </w:tc>
      </w:tr>
    </w:tbl>
    <w:p>
      <w:pPr>
        <w:spacing w:after="0" w:before="280"/>
      </w:pPr>
      <w:r>
        <w:t xml:space="preserve"/>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9360"/>
      </w:tblGrid>
      <w:tr>
        <w:tc>
          <w:tcPr>
            <w:tcW w:type="dxa" w:w="9360"/>
            <w:tcBorders>
              <w:top w:val="single" w:color="1D9E75" w:sz="8"/>
              <w:left w:val="none" w:color="FFFFFF" w:sz="0"/>
              <w:bottom w:val="single" w:color="1D9E75" w:sz="8"/>
              <w:right w:val="none" w:color="FFFFFF" w:sz="0"/>
            </w:tcBorders>
            <w:shd w:fill="E0F4F0" w:val="clear"/>
            <w:tcMar>
              <w:top w:type="dxa" w:w="200"/>
              <w:left w:type="dxa" w:w="280"/>
              <w:bottom w:type="dxa" w:w="200"/>
              <w:right w:type="dxa" w:w="280"/>
            </w:tcMar>
          </w:tcPr>
          <w:p>
            <w:pPr>
              <w:spacing w:after="120" w:before="0"/>
            </w:pPr>
            <w:r>
              <w:rPr>
                <w:rFonts w:ascii="Georgia" w:cs="Georgia" w:eastAsia="Georgia" w:hAnsi="Georgia"/>
                <w:i/>
                <w:iCs/>
                <w:color w:val="04342C"/>
                <w:sz w:val="24"/>
                <w:szCs w:val="24"/>
              </w:rPr>
              <w:t xml:space="preserve">“The best-run dish rooms I've seen in 40-plus years in this industry have a few things in common: they're treated as production environments, not afterthoughts. They have defined procedures. Equipment is maintained on a schedule, not reactively. And the people running them have been trained—not just put on the line and told to keep up.”</w:t>
            </w:r>
          </w:p>
          <w:p>
            <w:pPr>
              <w:spacing w:after="0" w:before="0"/>
            </w:pPr>
            <w:r>
              <w:rPr>
                <w:rFonts w:ascii="Arial" w:cs="Arial" w:eastAsia="Arial" w:hAnsi="Arial"/>
                <w:b/>
                <w:bCs/>
                <w:color w:val="0F6E56"/>
                <w:sz w:val="20"/>
                <w:szCs w:val="20"/>
              </w:rPr>
              <w:t xml:space="preserve">— Jerry Bauer, HospitalityCleaning101.com</w:t>
            </w:r>
          </w:p>
        </w:tc>
      </w:tr>
    </w:tbl>
    <w:p>
      <w:pPr>
        <w:spacing w:after="0" w:before="280"/>
      </w:pPr>
      <w:r>
        <w:t xml:space="preserve"/>
      </w:r>
    </w:p>
    <w:p>
      <w:pPr>
        <w:pBdr>
          <w:bottom w:val="single" w:color="1D9E75" w:sz="6" w:space="4"/>
        </w:pBdr>
        <w:spacing w:after="80" w:before="320"/>
      </w:pPr>
      <w:r>
        <w:rPr>
          <w:rFonts w:ascii="Arial" w:cs="Arial" w:eastAsia="Arial" w:hAnsi="Arial"/>
          <w:b/>
          <w:bCs/>
          <w:color w:val="0F6E56"/>
          <w:sz w:val="18"/>
          <w:szCs w:val="18"/>
        </w:rPr>
        <w:t xml:space="preserve">WHERE TO START TODAY</w:t>
      </w:r>
    </w:p>
    <w:p>
      <w:pPr>
        <w:spacing w:after="0" w:before="80"/>
      </w:pPr>
      <w:r>
        <w:t xml:space="preserve"/>
      </w:r>
    </w:p>
    <w:tbl>
      <w:tblPr>
        <w:tblW w:type="dxa" w:w="9360"/>
        <w:tblBorders>
          <w:top w:val="none" w:color="FFFFFF" w:sz="0"/>
          <w:left w:val="none" w:color="FFFFFF" w:sz="0"/>
          <w:bottom w:val="single" w:color="DDDDDD" w:sz="1"/>
          <w:right w:val="none" w:color="FFFFFF" w:sz="0"/>
          <w:insideH w:val="single" w:color="auto" w:sz="4"/>
          <w:insideV w:val="single" w:color="auto" w:sz="4"/>
        </w:tblBorders>
      </w:tblPr>
      <w:tblGrid>
        <w:gridCol w:w="600"/>
        <w:gridCol w:w="8760"/>
      </w:tblGrid>
      <w:tr>
        <w:tc>
          <w:tcPr>
            <w:tcW w:type="dxa" w:w="600"/>
            <w:tcBorders>
              <w:top w:val="none" w:color="FFFFFF" w:sz="0"/>
              <w:left w:val="none" w:color="FFFFFF" w:sz="0"/>
              <w:bottom w:val="none" w:color="FFFFFF" w:sz="0"/>
              <w:right w:val="none" w:color="FFFFFF" w:sz="0"/>
            </w:tcBorders>
            <w:tcMar>
              <w:top w:type="dxa" w:w="120"/>
              <w:left w:type="dxa" w:w="0"/>
              <w:bottom w:type="dxa" w:w="120"/>
              <w:right w:type="dxa" w:w="80"/>
            </w:tcMar>
            <w:vAlign w:val="top"/>
          </w:tcPr>
          <w:p>
            <w:pPr>
              <w:spacing w:after="0" w:before="0"/>
            </w:pPr>
            <w:r>
              <w:rPr>
                <w:rFonts w:ascii="Georgia" w:cs="Georgia" w:eastAsia="Georgia" w:hAnsi="Georgia"/>
                <w:b/>
                <w:bCs/>
                <w:color w:val="1D9E75"/>
                <w:sz w:val="36"/>
                <w:szCs w:val="36"/>
              </w:rPr>
              <w:t xml:space="preserve">01</w:t>
            </w:r>
          </w:p>
        </w:tc>
        <w:tc>
          <w:tcPr>
            <w:tcW w:type="dxa" w:w="8760"/>
            <w:tcBorders>
              <w:top w:val="none" w:color="FFFFFF" w:sz="0"/>
              <w:left w:val="none" w:color="FFFFFF" w:sz="0"/>
              <w:bottom w:val="none" w:color="FFFFFF" w:sz="0"/>
              <w:right w:val="none" w:color="FFFFFF" w:sz="0"/>
            </w:tcBorders>
            <w:tcMar>
              <w:top w:type="dxa" w:w="120"/>
              <w:left w:type="dxa" w:w="80"/>
              <w:bottom w:type="dxa" w:w="120"/>
              <w:right w:type="dxa" w:w="0"/>
            </w:tcMar>
          </w:tcPr>
          <w:p>
            <w:pPr>
              <w:spacing w:after="40" w:before="0"/>
            </w:pPr>
            <w:r>
              <w:rPr>
                <w:rFonts w:ascii="Arial" w:cs="Arial" w:eastAsia="Arial" w:hAnsi="Arial"/>
                <w:b/>
                <w:bCs/>
                <w:color w:val="04342C"/>
                <w:sz w:val="22"/>
                <w:szCs w:val="22"/>
              </w:rPr>
              <w:t xml:space="preserve">Audit your one-pass washing rate</w:t>
            </w:r>
          </w:p>
          <w:p>
            <w:pPr>
              <w:spacing w:after="0" w:before="0"/>
            </w:pPr>
            <w:r>
              <w:rPr>
                <w:rFonts w:ascii="Arial" w:cs="Arial" w:eastAsia="Arial" w:hAnsi="Arial"/>
                <w:color w:val="444444"/>
                <w:sz w:val="21"/>
                <w:szCs w:val="21"/>
              </w:rPr>
              <w:t xml:space="preserve">Pull a shift's worth of rack counts and compare to re-runs. If more than 10–15% of racks are going through twice, you have a pre-scraping and loading problem.</w:t>
            </w:r>
          </w:p>
        </w:tc>
      </w:tr>
    </w:tbl>
    <w:p>
      <w:pPr>
        <w:spacing w:after="0" w:before="40"/>
      </w:pPr>
      <w:r>
        <w:t xml:space="preserve"/>
      </w:r>
    </w:p>
    <w:tbl>
      <w:tblPr>
        <w:tblW w:type="dxa" w:w="9360"/>
        <w:tblBorders>
          <w:top w:val="none" w:color="FFFFFF" w:sz="0"/>
          <w:left w:val="none" w:color="FFFFFF" w:sz="0"/>
          <w:bottom w:val="single" w:color="DDDDDD" w:sz="1"/>
          <w:right w:val="none" w:color="FFFFFF" w:sz="0"/>
          <w:insideH w:val="single" w:color="auto" w:sz="4"/>
          <w:insideV w:val="single" w:color="auto" w:sz="4"/>
        </w:tblBorders>
      </w:tblPr>
      <w:tblGrid>
        <w:gridCol w:w="600"/>
        <w:gridCol w:w="8760"/>
      </w:tblGrid>
      <w:tr>
        <w:tc>
          <w:tcPr>
            <w:tcW w:type="dxa" w:w="600"/>
            <w:tcBorders>
              <w:top w:val="none" w:color="FFFFFF" w:sz="0"/>
              <w:left w:val="none" w:color="FFFFFF" w:sz="0"/>
              <w:bottom w:val="none" w:color="FFFFFF" w:sz="0"/>
              <w:right w:val="none" w:color="FFFFFF" w:sz="0"/>
            </w:tcBorders>
            <w:tcMar>
              <w:top w:type="dxa" w:w="120"/>
              <w:left w:type="dxa" w:w="0"/>
              <w:bottom w:type="dxa" w:w="120"/>
              <w:right w:type="dxa" w:w="80"/>
            </w:tcMar>
            <w:vAlign w:val="top"/>
          </w:tcPr>
          <w:p>
            <w:pPr>
              <w:spacing w:after="0" w:before="0"/>
            </w:pPr>
            <w:r>
              <w:rPr>
                <w:rFonts w:ascii="Georgia" w:cs="Georgia" w:eastAsia="Georgia" w:hAnsi="Georgia"/>
                <w:b/>
                <w:bCs/>
                <w:color w:val="1D9E75"/>
                <w:sz w:val="36"/>
                <w:szCs w:val="36"/>
              </w:rPr>
              <w:t xml:space="preserve">02</w:t>
            </w:r>
          </w:p>
        </w:tc>
        <w:tc>
          <w:tcPr>
            <w:tcW w:type="dxa" w:w="8760"/>
            <w:tcBorders>
              <w:top w:val="none" w:color="FFFFFF" w:sz="0"/>
              <w:left w:val="none" w:color="FFFFFF" w:sz="0"/>
              <w:bottom w:val="none" w:color="FFFFFF" w:sz="0"/>
              <w:right w:val="none" w:color="FFFFFF" w:sz="0"/>
            </w:tcBorders>
            <w:tcMar>
              <w:top w:type="dxa" w:w="120"/>
              <w:left w:type="dxa" w:w="80"/>
              <w:bottom w:type="dxa" w:w="120"/>
              <w:right w:type="dxa" w:w="0"/>
            </w:tcMar>
          </w:tcPr>
          <w:p>
            <w:pPr>
              <w:spacing w:after="40" w:before="0"/>
            </w:pPr>
            <w:r>
              <w:rPr>
                <w:rFonts w:ascii="Arial" w:cs="Arial" w:eastAsia="Arial" w:hAnsi="Arial"/>
                <w:b/>
                <w:bCs/>
                <w:color w:val="04342C"/>
                <w:sz w:val="22"/>
                <w:szCs w:val="22"/>
              </w:rPr>
              <w:t xml:space="preserve">Calibrate your dispensing equipment</w:t>
            </w:r>
          </w:p>
          <w:p>
            <w:pPr>
              <w:spacing w:after="0" w:before="0"/>
            </w:pPr>
            <w:r>
              <w:rPr>
                <w:rFonts w:ascii="Arial" w:cs="Arial" w:eastAsia="Arial" w:hAnsi="Arial"/>
                <w:color w:val="444444"/>
                <w:sz w:val="21"/>
                <w:szCs w:val="21"/>
              </w:rPr>
              <w:t xml:space="preserve">Call your chemical rep — this should be part of any service agreement — and have them verify concentrations with titration, not just visual inspection.</w:t>
            </w:r>
          </w:p>
        </w:tc>
      </w:tr>
    </w:tbl>
    <w:p>
      <w:pPr>
        <w:spacing w:after="0" w:before="40"/>
      </w:pPr>
      <w:r>
        <w:t xml:space="preserve"/>
      </w:r>
    </w:p>
    <w:tbl>
      <w:tblPr>
        <w:tblW w:type="dxa" w:w="9360"/>
        <w:tblBorders>
          <w:top w:val="none" w:color="FFFFFF" w:sz="0"/>
          <w:left w:val="none" w:color="FFFFFF" w:sz="0"/>
          <w:bottom w:val="single" w:color="DDDDDD" w:sz="1"/>
          <w:right w:val="none" w:color="FFFFFF" w:sz="0"/>
          <w:insideH w:val="single" w:color="auto" w:sz="4"/>
          <w:insideV w:val="single" w:color="auto" w:sz="4"/>
        </w:tblBorders>
      </w:tblPr>
      <w:tblGrid>
        <w:gridCol w:w="600"/>
        <w:gridCol w:w="8760"/>
      </w:tblGrid>
      <w:tr>
        <w:tc>
          <w:tcPr>
            <w:tcW w:type="dxa" w:w="600"/>
            <w:tcBorders>
              <w:top w:val="none" w:color="FFFFFF" w:sz="0"/>
              <w:left w:val="none" w:color="FFFFFF" w:sz="0"/>
              <w:bottom w:val="none" w:color="FFFFFF" w:sz="0"/>
              <w:right w:val="none" w:color="FFFFFF" w:sz="0"/>
            </w:tcBorders>
            <w:tcMar>
              <w:top w:type="dxa" w:w="120"/>
              <w:left w:type="dxa" w:w="0"/>
              <w:bottom w:type="dxa" w:w="120"/>
              <w:right w:type="dxa" w:w="80"/>
            </w:tcMar>
            <w:vAlign w:val="top"/>
          </w:tcPr>
          <w:p>
            <w:pPr>
              <w:spacing w:after="0" w:before="0"/>
            </w:pPr>
            <w:r>
              <w:rPr>
                <w:rFonts w:ascii="Georgia" w:cs="Georgia" w:eastAsia="Georgia" w:hAnsi="Georgia"/>
                <w:b/>
                <w:bCs/>
                <w:color w:val="1D9E75"/>
                <w:sz w:val="36"/>
                <w:szCs w:val="36"/>
              </w:rPr>
              <w:t xml:space="preserve">03</w:t>
            </w:r>
          </w:p>
        </w:tc>
        <w:tc>
          <w:tcPr>
            <w:tcW w:type="dxa" w:w="8760"/>
            <w:tcBorders>
              <w:top w:val="none" w:color="FFFFFF" w:sz="0"/>
              <w:left w:val="none" w:color="FFFFFF" w:sz="0"/>
              <w:bottom w:val="none" w:color="FFFFFF" w:sz="0"/>
              <w:right w:val="none" w:color="FFFFFF" w:sz="0"/>
            </w:tcBorders>
            <w:tcMar>
              <w:top w:type="dxa" w:w="120"/>
              <w:left w:type="dxa" w:w="80"/>
              <w:bottom w:type="dxa" w:w="120"/>
              <w:right w:type="dxa" w:w="0"/>
            </w:tcMar>
          </w:tcPr>
          <w:p>
            <w:pPr>
              <w:spacing w:after="40" w:before="0"/>
            </w:pPr>
            <w:r>
              <w:rPr>
                <w:rFonts w:ascii="Arial" w:cs="Arial" w:eastAsia="Arial" w:hAnsi="Arial"/>
                <w:b/>
                <w:bCs/>
                <w:color w:val="04342C"/>
                <w:sz w:val="22"/>
                <w:szCs w:val="22"/>
              </w:rPr>
              <w:t xml:space="preserve">Pull your utility data</w:t>
            </w:r>
          </w:p>
          <w:p>
            <w:pPr>
              <w:spacing w:after="0" w:before="0"/>
            </w:pPr>
            <w:r>
              <w:rPr>
                <w:rFonts w:ascii="Arial" w:cs="Arial" w:eastAsia="Arial" w:hAnsi="Arial"/>
                <w:color w:val="444444"/>
                <w:sz w:val="21"/>
                <w:szCs w:val="21"/>
              </w:rPr>
              <w:t xml:space="preserve">Look at total restaurant energy per cover month-over-month. Spikes almost always trace back to equipment issues you weren't aware of.</w:t>
            </w:r>
          </w:p>
        </w:tc>
      </w:tr>
    </w:tbl>
    <w:p>
      <w:pPr>
        <w:spacing w:after="0" w:before="40"/>
      </w:pPr>
      <w:r>
        <w:t xml:space="preserve"/>
      </w:r>
    </w:p>
    <w:tbl>
      <w:tblPr>
        <w:tblW w:type="dxa" w:w="9360"/>
        <w:tblBorders>
          <w:top w:val="none" w:color="FFFFFF" w:sz="0"/>
          <w:left w:val="none" w:color="FFFFFF" w:sz="0"/>
          <w:bottom w:val="single" w:color="DDDDDD" w:sz="1"/>
          <w:right w:val="none" w:color="FFFFFF" w:sz="0"/>
          <w:insideH w:val="single" w:color="auto" w:sz="4"/>
          <w:insideV w:val="single" w:color="auto" w:sz="4"/>
        </w:tblBorders>
      </w:tblPr>
      <w:tblGrid>
        <w:gridCol w:w="600"/>
        <w:gridCol w:w="8760"/>
      </w:tblGrid>
      <w:tr>
        <w:tc>
          <w:tcPr>
            <w:tcW w:type="dxa" w:w="600"/>
            <w:tcBorders>
              <w:top w:val="none" w:color="FFFFFF" w:sz="0"/>
              <w:left w:val="none" w:color="FFFFFF" w:sz="0"/>
              <w:bottom w:val="none" w:color="FFFFFF" w:sz="0"/>
              <w:right w:val="none" w:color="FFFFFF" w:sz="0"/>
            </w:tcBorders>
            <w:tcMar>
              <w:top w:type="dxa" w:w="120"/>
              <w:left w:type="dxa" w:w="0"/>
              <w:bottom w:type="dxa" w:w="120"/>
              <w:right w:type="dxa" w:w="80"/>
            </w:tcMar>
            <w:vAlign w:val="top"/>
          </w:tcPr>
          <w:p>
            <w:pPr>
              <w:spacing w:after="0" w:before="0"/>
            </w:pPr>
            <w:r>
              <w:rPr>
                <w:rFonts w:ascii="Georgia" w:cs="Georgia" w:eastAsia="Georgia" w:hAnsi="Georgia"/>
                <w:b/>
                <w:bCs/>
                <w:color w:val="1D9E75"/>
                <w:sz w:val="36"/>
                <w:szCs w:val="36"/>
              </w:rPr>
              <w:t xml:space="preserve">04</w:t>
            </w:r>
          </w:p>
        </w:tc>
        <w:tc>
          <w:tcPr>
            <w:tcW w:type="dxa" w:w="8760"/>
            <w:tcBorders>
              <w:top w:val="none" w:color="FFFFFF" w:sz="0"/>
              <w:left w:val="none" w:color="FFFFFF" w:sz="0"/>
              <w:bottom w:val="none" w:color="FFFFFF" w:sz="0"/>
              <w:right w:val="none" w:color="FFFFFF" w:sz="0"/>
            </w:tcBorders>
            <w:tcMar>
              <w:top w:type="dxa" w:w="120"/>
              <w:left w:type="dxa" w:w="80"/>
              <w:bottom w:type="dxa" w:w="120"/>
              <w:right w:type="dxa" w:w="0"/>
            </w:tcMar>
          </w:tcPr>
          <w:p>
            <w:pPr>
              <w:spacing w:after="40" w:before="0"/>
            </w:pPr>
            <w:r>
              <w:rPr>
                <w:rFonts w:ascii="Arial" w:cs="Arial" w:eastAsia="Arial" w:hAnsi="Arial"/>
                <w:b/>
                <w:bCs/>
                <w:color w:val="04342C"/>
                <w:sz w:val="22"/>
                <w:szCs w:val="22"/>
              </w:rPr>
              <w:t xml:space="preserve">Do a rack inventory</w:t>
            </w:r>
          </w:p>
          <w:p>
            <w:pPr>
              <w:spacing w:after="0" w:before="0"/>
            </w:pPr>
            <w:r>
              <w:rPr>
                <w:rFonts w:ascii="Arial" w:cs="Arial" w:eastAsia="Arial" w:hAnsi="Arial"/>
                <w:color w:val="444444"/>
                <w:sz w:val="21"/>
                <w:szCs w:val="21"/>
              </w:rPr>
              <w:t xml:space="preserve">Are you using the right racks for the ware you're washing? Flatware in a glass rack is one of the most common and easiest-to-fix breakage drivers.</w:t>
            </w:r>
          </w:p>
        </w:tc>
      </w:tr>
    </w:tbl>
    <w:p>
      <w:pPr>
        <w:spacing w:after="0" w:before="40"/>
      </w:pPr>
      <w:r>
        <w:t xml:space="preserve"/>
      </w:r>
    </w:p>
    <w:tbl>
      <w:tblPr>
        <w:tblW w:type="dxa" w:w="9360"/>
        <w:tblBorders>
          <w:top w:val="none" w:color="FFFFFF" w:sz="0"/>
          <w:left w:val="none" w:color="FFFFFF" w:sz="0"/>
          <w:bottom w:val="single" w:color="DDDDDD" w:sz="1"/>
          <w:right w:val="none" w:color="FFFFFF" w:sz="0"/>
          <w:insideH w:val="single" w:color="auto" w:sz="4"/>
          <w:insideV w:val="single" w:color="auto" w:sz="4"/>
        </w:tblBorders>
      </w:tblPr>
      <w:tblGrid>
        <w:gridCol w:w="600"/>
        <w:gridCol w:w="8760"/>
      </w:tblGrid>
      <w:tr>
        <w:tc>
          <w:tcPr>
            <w:tcW w:type="dxa" w:w="600"/>
            <w:tcBorders>
              <w:top w:val="none" w:color="FFFFFF" w:sz="0"/>
              <w:left w:val="none" w:color="FFFFFF" w:sz="0"/>
              <w:bottom w:val="none" w:color="FFFFFF" w:sz="0"/>
              <w:right w:val="none" w:color="FFFFFF" w:sz="0"/>
            </w:tcBorders>
            <w:tcMar>
              <w:top w:type="dxa" w:w="120"/>
              <w:left w:type="dxa" w:w="0"/>
              <w:bottom w:type="dxa" w:w="120"/>
              <w:right w:type="dxa" w:w="80"/>
            </w:tcMar>
            <w:vAlign w:val="top"/>
          </w:tcPr>
          <w:p>
            <w:pPr>
              <w:spacing w:after="0" w:before="0"/>
            </w:pPr>
            <w:r>
              <w:rPr>
                <w:rFonts w:ascii="Georgia" w:cs="Georgia" w:eastAsia="Georgia" w:hAnsi="Georgia"/>
                <w:b/>
                <w:bCs/>
                <w:color w:val="1D9E75"/>
                <w:sz w:val="36"/>
                <w:szCs w:val="36"/>
              </w:rPr>
              <w:t xml:space="preserve">05</w:t>
            </w:r>
          </w:p>
        </w:tc>
        <w:tc>
          <w:tcPr>
            <w:tcW w:type="dxa" w:w="8760"/>
            <w:tcBorders>
              <w:top w:val="none" w:color="FFFFFF" w:sz="0"/>
              <w:left w:val="none" w:color="FFFFFF" w:sz="0"/>
              <w:bottom w:val="none" w:color="FFFFFF" w:sz="0"/>
              <w:right w:val="none" w:color="FFFFFF" w:sz="0"/>
            </w:tcBorders>
            <w:tcMar>
              <w:top w:type="dxa" w:w="120"/>
              <w:left w:type="dxa" w:w="80"/>
              <w:bottom w:type="dxa" w:w="120"/>
              <w:right w:type="dxa" w:w="0"/>
            </w:tcMar>
          </w:tcPr>
          <w:p>
            <w:pPr>
              <w:spacing w:after="40" w:before="0"/>
            </w:pPr>
            <w:r>
              <w:rPr>
                <w:rFonts w:ascii="Arial" w:cs="Arial" w:eastAsia="Arial" w:hAnsi="Arial"/>
                <w:b/>
                <w:bCs/>
                <w:color w:val="04342C"/>
                <w:sz w:val="22"/>
                <w:szCs w:val="22"/>
              </w:rPr>
              <w:t xml:space="preserve">Count your smallwares against purchase history</w:t>
            </w:r>
          </w:p>
          <w:p>
            <w:pPr>
              <w:spacing w:after="0" w:before="0"/>
            </w:pPr>
            <w:r>
              <w:rPr>
                <w:rFonts w:ascii="Arial" w:cs="Arial" w:eastAsia="Arial" w:hAnsi="Arial"/>
                <w:color w:val="444444"/>
                <w:sz w:val="21"/>
                <w:szCs w:val="21"/>
              </w:rPr>
              <w:t xml:space="preserve">You may find the inventory shrinkage problem faster than expected — and identify whether you have a drift problem or a discipline problem.</w:t>
            </w:r>
          </w:p>
        </w:tc>
      </w:tr>
    </w:tbl>
    <w:p>
      <w:pPr>
        <w:spacing w:after="0" w:before="280"/>
      </w:pPr>
      <w:r>
        <w:t xml:space="preserve"/>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9360"/>
      </w:tblGrid>
      <w:tr>
        <w:tc>
          <w:tcPr>
            <w:tcW w:type="dxa" w:w="9360"/>
            <w:tcBorders>
              <w:top w:val="none" w:color="FFFFFF" w:sz="0"/>
              <w:left w:val="none" w:color="FFFFFF" w:sz="0"/>
              <w:bottom w:val="none" w:color="FFFFFF" w:sz="0"/>
              <w:right w:val="none" w:color="FFFFFF" w:sz="0"/>
            </w:tcBorders>
            <w:shd w:fill="04342C" w:val="clear"/>
            <w:tcMar>
              <w:top w:type="dxa" w:w="200"/>
              <w:left w:type="dxa" w:w="300"/>
              <w:bottom w:type="dxa" w:w="200"/>
              <w:right w:type="dxa" w:w="300"/>
            </w:tcMar>
          </w:tcPr>
          <w:p>
            <w:pPr>
              <w:spacing w:after="80" w:before="0"/>
            </w:pPr>
            <w:r>
              <w:rPr>
                <w:rFonts w:ascii="Georgia" w:cs="Georgia" w:eastAsia="Georgia" w:hAnsi="Georgia"/>
                <w:b/>
                <w:bCs/>
                <w:color w:val="FFFFFF"/>
                <w:sz w:val="30"/>
                <w:szCs w:val="30"/>
              </w:rPr>
              <w:t xml:space="preserve">Need help with your dish room?</w:t>
            </w:r>
          </w:p>
          <w:p>
            <w:pPr>
              <w:spacing w:after="140" w:before="0"/>
            </w:pPr>
            <w:r>
              <w:rPr>
                <w:rFonts w:ascii="Arial" w:cs="Arial" w:eastAsia="Arial" w:hAnsi="Arial"/>
                <w:color w:val="C8E8DF"/>
                <w:sz w:val="21"/>
                <w:szCs w:val="21"/>
              </w:rPr>
              <w:t xml:space="preserve">Reach out directly — whether you're an operator troubleshooting costs or a supplier looking to reach the hospitality market.</w:t>
            </w:r>
          </w:p>
          <w:p>
            <w:pPr>
              <w:spacing w:after="0" w:before="0"/>
            </w:pPr>
            <w:hyperlink w:history="1" r:id="rIdwzwof5lpb7aoeinh3xpbs">
              <w:r>
                <w:rPr>
                  <w:rFonts w:ascii="Arial" w:cs="Arial" w:eastAsia="Arial" w:hAnsi="Arial"/>
                  <w:b/>
                  <w:bCs/>
                  <w:color w:val="5DCAA5"/>
                  <w:sz w:val="22"/>
                  <w:szCs w:val="22"/>
                  <w:u w:val="single"/>
                </w:rPr>
                <w:t xml:space="preserve">HospitalityCleaning101.com</w:t>
              </w:r>
            </w:hyperlink>
          </w:p>
        </w:tc>
      </w:tr>
    </w:tbl>
    <w:p>
      <w:pPr>
        <w:spacing w:after="0" w:before="200"/>
      </w:pPr>
      <w:r>
        <w:t xml:space="preserve"/>
      </w:r>
    </w:p>
    <w:tbl>
      <w:tblPr>
        <w:tblW w:type="dxa" w:w="9360"/>
        <w:tblBorders>
          <w:top w:val="none" w:color="FFFFFF" w:sz="0"/>
          <w:left w:val="single" w:color="1D9E75" w:sz="16"/>
          <w:bottom w:val="none" w:color="FFFFFF" w:sz="0"/>
          <w:right w:val="none" w:color="FFFFFF" w:sz="0"/>
          <w:insideH w:val="single" w:color="auto" w:sz="4"/>
          <w:insideV w:val="single" w:color="auto" w:sz="4"/>
        </w:tblBorders>
      </w:tblPr>
      <w:tblGrid>
        <w:gridCol w:w="9360"/>
      </w:tblGrid>
      <w:tr>
        <w:tc>
          <w:tcPr>
            <w:tcW w:type="dxa" w:w="9360"/>
            <w:tcBorders>
              <w:top w:val="none" w:color="FFFFFF" w:sz="0"/>
              <w:left w:val="none" w:color="FFFFFF" w:sz="0"/>
              <w:bottom w:val="none" w:color="FFFFFF" w:sz="0"/>
              <w:right w:val="none" w:color="FFFFFF" w:sz="0"/>
            </w:tcBorders>
            <w:shd w:fill="F5F5F5" w:val="clear"/>
            <w:tcMar>
              <w:top w:type="dxa" w:w="160"/>
              <w:left w:type="dxa" w:w="240"/>
              <w:bottom w:type="dxa" w:w="160"/>
              <w:right w:type="dxa" w:w="240"/>
            </w:tcMar>
          </w:tcPr>
          <w:p>
            <w:pPr>
              <w:spacing w:after="60" w:before="0"/>
            </w:pPr>
            <w:r>
              <w:rPr>
                <w:rFonts w:ascii="Arial" w:cs="Arial" w:eastAsia="Arial" w:hAnsi="Arial"/>
                <w:b/>
                <w:bCs/>
                <w:color w:val="04342C"/>
                <w:sz w:val="24"/>
                <w:szCs w:val="24"/>
              </w:rPr>
              <w:t xml:space="preserve">Jerry Bauer</w:t>
            </w:r>
          </w:p>
          <w:p>
            <w:pPr>
              <w:spacing w:after="0" w:before="0"/>
            </w:pPr>
            <w:r>
              <w:rPr>
                <w:rFonts w:ascii="Arial" w:cs="Arial" w:eastAsia="Arial" w:hAnsi="Arial"/>
                <w:color w:val="555555"/>
                <w:sz w:val="19"/>
                <w:szCs w:val="19"/>
              </w:rPr>
              <w:t xml:space="preserve">40+ years in hospitality cleaning and sanitation · Author, Pour with Pride · Host, Cleaning Processes with Jerry (Buzzsprout) · HospitalityCleaning101.com</w:t>
            </w:r>
          </w:p>
        </w:tc>
      </w:tr>
    </w:tbl>
    <w:sectPr>
      <w:headerReference w:type="default" r:id="rId7"/>
      <w:footerReference w:type="default" r:id="rId8"/>
      <w:pgSz w:w="12240" w:h="15840" w:orient="portrait"/>
      <w:pgMar w:top="1080" w:right="1080" w:bottom="108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1D9E75" w:sz="4" w:space="4"/>
      </w:pBdr>
      <w:spacing w:before="80"/>
      <w:jc w:val="center"/>
    </w:pPr>
    <w:r>
      <w:rPr>
        <w:rFonts w:ascii="Arial" w:cs="Arial" w:eastAsia="Arial" w:hAnsi="Arial"/>
        <w:color w:val="555555"/>
        <w:sz w:val="18"/>
        <w:szCs w:val="18"/>
      </w:rPr>
      <w:t xml:space="preserve">Jerry Bauer  ·  HospitalityCleaning101.com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tbl>
    <w:tblPr>
      <w:tblW w:type="dxa" w:w="10080"/>
      <w:tblBorders>
        <w:top w:val="none" w:color="FFFFFF" w:sz="0"/>
        <w:left w:val="none" w:color="FFFFFF" w:sz="0"/>
        <w:bottom w:val="single" w:color="1D9E75" w:sz="8"/>
        <w:right w:val="none" w:color="FFFFFF" w:sz="0"/>
        <w:insideH w:val="single" w:color="auto" w:sz="4"/>
        <w:insideV w:val="single" w:color="auto" w:sz="4"/>
      </w:tblBorders>
    </w:tblPr>
    <w:tblGrid>
      <w:gridCol w:w="10080"/>
    </w:tblGrid>
    <w:tr>
      <w:tc>
        <w:tcPr>
          <w:tcW w:type="dxa" w:w="10080"/>
          <w:tcBorders>
            <w:top w:val="none" w:color="FFFFFF" w:sz="0"/>
            <w:left w:val="none" w:color="FFFFFF" w:sz="0"/>
            <w:bottom w:val="none" w:color="FFFFFF" w:sz="0"/>
            <w:right w:val="none" w:color="FFFFFF" w:sz="0"/>
          </w:tcBorders>
          <w:shd w:fill="04342C" w:val="clear"/>
          <w:tcMar>
            <w:top w:type="dxa" w:w="120"/>
            <w:left w:type="dxa" w:w="200"/>
            <w:bottom w:type="dxa" w:w="120"/>
            <w:right w:type="dxa" w:w="200"/>
          </w:tcMar>
        </w:tcPr>
        <w:p>
          <w:pPr>
            <w:spacing w:after="0" w:before="0"/>
          </w:pPr>
          <w:r>
            <w:rPr>
              <w:rFonts w:ascii="Arial" w:cs="Arial" w:eastAsia="Arial" w:hAnsi="Arial"/>
              <w:b/>
              <w:bCs/>
              <w:color w:val="9FE1CB"/>
              <w:spacing w:val="60"/>
              <w:sz w:val="16"/>
              <w:szCs w:val="16"/>
            </w:rPr>
            <w:t xml:space="preserve">HC101 RESOURCE GUIDE</w:t>
          </w:r>
          <w:r>
            <w:rPr>
              <w:rFonts w:ascii="Arial" w:cs="Arial" w:eastAsia="Arial" w:hAnsi="Arial"/>
              <w:color w:val="5DCAA5"/>
              <w:sz w:val="16"/>
              <w:szCs w:val="16"/>
            </w:rPr>
            <w:t xml:space="preserve">   |   HospitalityCleaning101.com</w:t>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wzwof5lpb7aoeinh3xpbs" Type="http://schemas.openxmlformats.org/officeDocument/2006/relationships/hyperlink" Target="https://hospitalitycleaning101.com" TargetMode="External"/><Relationship Id="rId9" Type="http://schemas.openxmlformats.org/officeDocument/2006/relationships/image" Target="media/f2da4602b387a9fdc7e6119c066bf58909777215.jpg"/><Relationship Id="rId10" Type="http://schemas.openxmlformats.org/officeDocument/2006/relationships/image" Target="media/8b0124cd12aa242bf6f222934bc1c38bde376d4a.jpg"/><Relationship Id="rId12"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2026-04-13T12:01:34.210Z</dcterms:created>
  <dcterms:modified xsi:type="dcterms:W3CDTF">2026-04-13T12:01:34.210Z</dcterms:modified>
</cp:coreProperties>
</file>

<file path=docProps/custom.xml><?xml version="1.0" encoding="utf-8"?>
<Properties xmlns="http://schemas.openxmlformats.org/officeDocument/2006/custom-properties" xmlns:vt="http://schemas.openxmlformats.org/officeDocument/2006/docPropsVTypes"/>
</file>